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C2FB" w14:textId="77777777" w:rsidR="001B590C" w:rsidRDefault="00C653C9">
      <w:pPr>
        <w:pStyle w:val="BodyText"/>
        <w:jc w:val="center"/>
        <w:rPr>
          <w:b/>
          <w:bCs/>
          <w:sz w:val="32"/>
        </w:rPr>
      </w:pPr>
      <w:r>
        <w:rPr>
          <w:b/>
          <w:bCs/>
          <w:noProof/>
          <w:sz w:val="32"/>
        </w:rPr>
        <w:drawing>
          <wp:inline distT="0" distB="0" distL="0" distR="0" wp14:anchorId="75F3DF63" wp14:editId="27CDC9E2">
            <wp:extent cx="2085975" cy="600075"/>
            <wp:effectExtent l="19050" t="0" r="9525" b="0"/>
            <wp:docPr id="1" name="Picture 1" descr="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zontal"/>
                    <pic:cNvPicPr>
                      <a:picLocks noChangeAspect="1" noChangeArrowheads="1"/>
                    </pic:cNvPicPr>
                  </pic:nvPicPr>
                  <pic:blipFill>
                    <a:blip r:embed="rId10" cstate="print"/>
                    <a:srcRect/>
                    <a:stretch>
                      <a:fillRect/>
                    </a:stretch>
                  </pic:blipFill>
                  <pic:spPr bwMode="auto">
                    <a:xfrm>
                      <a:off x="0" y="0"/>
                      <a:ext cx="2085975" cy="600075"/>
                    </a:xfrm>
                    <a:prstGeom prst="rect">
                      <a:avLst/>
                    </a:prstGeom>
                    <a:noFill/>
                    <a:ln w="9525">
                      <a:noFill/>
                      <a:miter lim="800000"/>
                      <a:headEnd/>
                      <a:tailEnd/>
                    </a:ln>
                  </pic:spPr>
                </pic:pic>
              </a:graphicData>
            </a:graphic>
          </wp:inline>
        </w:drawing>
      </w:r>
    </w:p>
    <w:p w14:paraId="435FFF56" w14:textId="77777777" w:rsidR="00394CC2" w:rsidRDefault="00394CC2">
      <w:pPr>
        <w:pStyle w:val="BodyText"/>
        <w:jc w:val="center"/>
        <w:rPr>
          <w:b/>
          <w:bCs/>
          <w:sz w:val="32"/>
        </w:rPr>
      </w:pPr>
      <w:r>
        <w:rPr>
          <w:b/>
          <w:bCs/>
          <w:sz w:val="32"/>
        </w:rPr>
        <w:t>Employee Benefits Plan</w:t>
      </w:r>
      <w:r w:rsidR="00A10BAE">
        <w:rPr>
          <w:b/>
          <w:bCs/>
          <w:sz w:val="32"/>
        </w:rPr>
        <w:t xml:space="preserve"> Summary</w:t>
      </w:r>
    </w:p>
    <w:p w14:paraId="54D34C4D" w14:textId="77777777" w:rsidR="00394CC2" w:rsidRDefault="0047203F">
      <w:pPr>
        <w:pStyle w:val="BodyText"/>
        <w:jc w:val="center"/>
        <w:rPr>
          <w:b/>
          <w:bCs/>
          <w:sz w:val="32"/>
        </w:rPr>
      </w:pPr>
      <w:r>
        <w:rPr>
          <w:b/>
          <w:bCs/>
          <w:sz w:val="32"/>
        </w:rPr>
        <w:t>Regular, Full Time Employees</w:t>
      </w:r>
    </w:p>
    <w:tbl>
      <w:tblPr>
        <w:tblW w:w="10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92"/>
        <w:gridCol w:w="6906"/>
      </w:tblGrid>
      <w:tr w:rsidR="00394CC2" w14:paraId="67FACE7A" w14:textId="77777777">
        <w:tc>
          <w:tcPr>
            <w:tcW w:w="3192" w:type="dxa"/>
            <w:tcBorders>
              <w:bottom w:val="single" w:sz="4" w:space="0" w:color="auto"/>
            </w:tcBorders>
          </w:tcPr>
          <w:p w14:paraId="4922F971" w14:textId="77777777" w:rsidR="00394CC2" w:rsidRDefault="00394CC2">
            <w:pPr>
              <w:pStyle w:val="BodyText"/>
              <w:jc w:val="center"/>
              <w:rPr>
                <w:b/>
              </w:rPr>
            </w:pPr>
            <w:r>
              <w:rPr>
                <w:b/>
              </w:rPr>
              <w:t>Benefit Title</w:t>
            </w:r>
          </w:p>
        </w:tc>
        <w:tc>
          <w:tcPr>
            <w:tcW w:w="6906" w:type="dxa"/>
            <w:tcBorders>
              <w:bottom w:val="single" w:sz="4" w:space="0" w:color="auto"/>
            </w:tcBorders>
          </w:tcPr>
          <w:p w14:paraId="5DC84B3A" w14:textId="77777777" w:rsidR="00394CC2" w:rsidRDefault="00394CC2">
            <w:pPr>
              <w:pStyle w:val="BodyText"/>
              <w:jc w:val="center"/>
              <w:rPr>
                <w:b/>
              </w:rPr>
            </w:pPr>
            <w:r>
              <w:rPr>
                <w:b/>
              </w:rPr>
              <w:t>Benefit Description</w:t>
            </w:r>
          </w:p>
        </w:tc>
      </w:tr>
      <w:tr w:rsidR="00394CC2" w14:paraId="2B6D73EC" w14:textId="77777777">
        <w:tc>
          <w:tcPr>
            <w:tcW w:w="3192" w:type="dxa"/>
            <w:tcBorders>
              <w:top w:val="nil"/>
            </w:tcBorders>
          </w:tcPr>
          <w:p w14:paraId="1BD0196E" w14:textId="77777777" w:rsidR="00394CC2" w:rsidRDefault="000E0E72">
            <w:pPr>
              <w:jc w:val="center"/>
              <w:rPr>
                <w:rFonts w:ascii="Arial" w:hAnsi="Arial"/>
                <w:sz w:val="22"/>
              </w:rPr>
            </w:pPr>
            <w:r>
              <w:rPr>
                <w:rFonts w:ascii="Arial" w:hAnsi="Arial"/>
                <w:sz w:val="22"/>
              </w:rPr>
              <w:t xml:space="preserve">Paid Time Off </w:t>
            </w:r>
          </w:p>
        </w:tc>
        <w:tc>
          <w:tcPr>
            <w:tcW w:w="6906" w:type="dxa"/>
            <w:tcBorders>
              <w:top w:val="nil"/>
            </w:tcBorders>
          </w:tcPr>
          <w:p w14:paraId="196C5526" w14:textId="7FC2DA0F" w:rsidR="00394CC2" w:rsidRDefault="00394CC2">
            <w:pPr>
              <w:pStyle w:val="BodyText"/>
              <w:rPr>
                <w:sz w:val="22"/>
              </w:rPr>
            </w:pPr>
            <w:r>
              <w:rPr>
                <w:sz w:val="22"/>
              </w:rPr>
              <w:t xml:space="preserve">Our </w:t>
            </w:r>
            <w:r w:rsidR="000E0E72">
              <w:rPr>
                <w:sz w:val="22"/>
              </w:rPr>
              <w:t>Paid Time Off (PTO)</w:t>
            </w:r>
            <w:r>
              <w:rPr>
                <w:sz w:val="22"/>
              </w:rPr>
              <w:t xml:space="preserve"> plan combines vacation and sick leave together for regular</w:t>
            </w:r>
            <w:r w:rsidR="00AE4320">
              <w:rPr>
                <w:sz w:val="22"/>
              </w:rPr>
              <w:t>,</w:t>
            </w:r>
            <w:r>
              <w:rPr>
                <w:sz w:val="22"/>
              </w:rPr>
              <w:t xml:space="preserve"> full-time </w:t>
            </w:r>
            <w:r w:rsidR="00AE4320">
              <w:rPr>
                <w:sz w:val="22"/>
              </w:rPr>
              <w:t xml:space="preserve">and parttime </w:t>
            </w:r>
            <w:r>
              <w:rPr>
                <w:sz w:val="22"/>
              </w:rPr>
              <w:t>employees.  Employees begin accruing paid leave from the first day of employment.</w:t>
            </w:r>
          </w:p>
          <w:p w14:paraId="6C0B5184" w14:textId="71346C41" w:rsidR="00394CC2" w:rsidRDefault="00394CC2">
            <w:pPr>
              <w:pStyle w:val="BodyText"/>
              <w:rPr>
                <w:sz w:val="22"/>
              </w:rPr>
            </w:pPr>
            <w:r>
              <w:rPr>
                <w:sz w:val="22"/>
              </w:rPr>
              <w:t xml:space="preserve">Regular part-time employees earn </w:t>
            </w:r>
            <w:r w:rsidR="00A800DB">
              <w:rPr>
                <w:sz w:val="22"/>
              </w:rPr>
              <w:t>half of the fulltime accrual rate.</w:t>
            </w:r>
          </w:p>
          <w:tbl>
            <w:tblPr>
              <w:tblW w:w="5501" w:type="dxa"/>
              <w:jc w:val="center"/>
              <w:tblLayout w:type="fixed"/>
              <w:tblLook w:val="04A0" w:firstRow="1" w:lastRow="0" w:firstColumn="1" w:lastColumn="0" w:noHBand="0" w:noVBand="1"/>
            </w:tblPr>
            <w:tblGrid>
              <w:gridCol w:w="2460"/>
              <w:gridCol w:w="3041"/>
            </w:tblGrid>
            <w:tr w:rsidR="00CB4AAC" w:rsidRPr="00696A9B" w14:paraId="7D5CD96B" w14:textId="77777777" w:rsidTr="00CB4AAC">
              <w:trPr>
                <w:trHeight w:val="300"/>
                <w:jc w:val="center"/>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366F" w14:textId="77777777" w:rsidR="00CB4AAC" w:rsidRPr="00696A9B" w:rsidRDefault="00CB4AAC" w:rsidP="00CB4AAC">
                  <w:pPr>
                    <w:rPr>
                      <w:rFonts w:ascii="Calibri" w:hAnsi="Calibri"/>
                      <w:b/>
                      <w:bCs/>
                      <w:color w:val="000000"/>
                      <w:sz w:val="22"/>
                      <w:szCs w:val="22"/>
                    </w:rPr>
                  </w:pPr>
                  <w:r w:rsidRPr="00696A9B">
                    <w:rPr>
                      <w:rFonts w:ascii="Calibri" w:hAnsi="Calibri"/>
                      <w:b/>
                      <w:bCs/>
                      <w:color w:val="000000"/>
                      <w:sz w:val="22"/>
                      <w:szCs w:val="22"/>
                    </w:rPr>
                    <w:t>Years of TSI Service</w:t>
                  </w:r>
                </w:p>
              </w:tc>
              <w:tc>
                <w:tcPr>
                  <w:tcW w:w="3041" w:type="dxa"/>
                  <w:tcBorders>
                    <w:top w:val="single" w:sz="4" w:space="0" w:color="auto"/>
                    <w:left w:val="nil"/>
                    <w:bottom w:val="single" w:sz="4" w:space="0" w:color="auto"/>
                    <w:right w:val="single" w:sz="4" w:space="0" w:color="auto"/>
                  </w:tcBorders>
                  <w:shd w:val="clear" w:color="auto" w:fill="auto"/>
                  <w:noWrap/>
                  <w:vAlign w:val="bottom"/>
                  <w:hideMark/>
                </w:tcPr>
                <w:p w14:paraId="728BEF00" w14:textId="77777777" w:rsidR="00CB4AAC" w:rsidRPr="00696A9B" w:rsidRDefault="00CB4AAC" w:rsidP="000E0E72">
                  <w:pPr>
                    <w:rPr>
                      <w:rFonts w:ascii="Calibri" w:hAnsi="Calibri"/>
                      <w:b/>
                      <w:bCs/>
                      <w:color w:val="000000"/>
                      <w:sz w:val="22"/>
                      <w:szCs w:val="22"/>
                    </w:rPr>
                  </w:pPr>
                  <w:r w:rsidRPr="00696A9B">
                    <w:rPr>
                      <w:rFonts w:ascii="Calibri" w:hAnsi="Calibri"/>
                      <w:b/>
                      <w:bCs/>
                      <w:color w:val="000000"/>
                      <w:sz w:val="22"/>
                      <w:szCs w:val="22"/>
                    </w:rPr>
                    <w:t xml:space="preserve">Biweekly </w:t>
                  </w:r>
                  <w:r w:rsidR="000E0E72">
                    <w:rPr>
                      <w:rFonts w:ascii="Calibri" w:hAnsi="Calibri"/>
                      <w:b/>
                      <w:bCs/>
                      <w:color w:val="000000"/>
                      <w:sz w:val="22"/>
                      <w:szCs w:val="22"/>
                    </w:rPr>
                    <w:t>PTO</w:t>
                  </w:r>
                  <w:r w:rsidRPr="00696A9B">
                    <w:rPr>
                      <w:rFonts w:ascii="Calibri" w:hAnsi="Calibri"/>
                      <w:b/>
                      <w:bCs/>
                      <w:color w:val="000000"/>
                      <w:sz w:val="22"/>
                      <w:szCs w:val="22"/>
                    </w:rPr>
                    <w:t xml:space="preserve"> Accrual</w:t>
                  </w:r>
                </w:p>
              </w:tc>
            </w:tr>
            <w:tr w:rsidR="00CB4AAC" w:rsidRPr="00696A9B" w14:paraId="4027B02C" w14:textId="77777777" w:rsidTr="00CB4AAC">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E0DD8FA" w14:textId="77777777" w:rsidR="00CB4AAC" w:rsidRPr="00696A9B" w:rsidRDefault="00CB4AAC" w:rsidP="00CB4AAC">
                  <w:pPr>
                    <w:rPr>
                      <w:rFonts w:ascii="Calibri" w:hAnsi="Calibri"/>
                      <w:color w:val="000000"/>
                      <w:sz w:val="22"/>
                      <w:szCs w:val="22"/>
                    </w:rPr>
                  </w:pPr>
                  <w:r w:rsidRPr="00696A9B">
                    <w:rPr>
                      <w:rFonts w:ascii="Calibri" w:hAnsi="Calibri"/>
                      <w:color w:val="000000"/>
                      <w:sz w:val="22"/>
                      <w:szCs w:val="22"/>
                    </w:rPr>
                    <w:t xml:space="preserve">1 through </w:t>
                  </w:r>
                  <w:r w:rsidR="001B2445">
                    <w:rPr>
                      <w:rFonts w:ascii="Calibri" w:hAnsi="Calibri"/>
                      <w:color w:val="000000"/>
                      <w:sz w:val="22"/>
                      <w:szCs w:val="22"/>
                    </w:rPr>
                    <w:t>4</w:t>
                  </w:r>
                </w:p>
              </w:tc>
              <w:tc>
                <w:tcPr>
                  <w:tcW w:w="3041" w:type="dxa"/>
                  <w:tcBorders>
                    <w:top w:val="nil"/>
                    <w:left w:val="nil"/>
                    <w:bottom w:val="single" w:sz="4" w:space="0" w:color="auto"/>
                    <w:right w:val="single" w:sz="4" w:space="0" w:color="auto"/>
                  </w:tcBorders>
                  <w:shd w:val="clear" w:color="auto" w:fill="auto"/>
                  <w:noWrap/>
                  <w:vAlign w:val="bottom"/>
                  <w:hideMark/>
                </w:tcPr>
                <w:p w14:paraId="2449D972" w14:textId="77777777" w:rsidR="00CB4AAC" w:rsidRPr="00696A9B" w:rsidRDefault="000E0E72" w:rsidP="00CB4AAC">
                  <w:pPr>
                    <w:rPr>
                      <w:rFonts w:ascii="Calibri" w:hAnsi="Calibri"/>
                      <w:color w:val="000000"/>
                      <w:sz w:val="22"/>
                      <w:szCs w:val="22"/>
                    </w:rPr>
                  </w:pPr>
                  <w:r>
                    <w:rPr>
                      <w:rFonts w:ascii="Calibri" w:hAnsi="Calibri"/>
                      <w:color w:val="000000"/>
                      <w:sz w:val="22"/>
                      <w:szCs w:val="22"/>
                    </w:rPr>
                    <w:t xml:space="preserve">4.6154 </w:t>
                  </w:r>
                  <w:proofErr w:type="spellStart"/>
                  <w:r>
                    <w:rPr>
                      <w:rFonts w:ascii="Calibri" w:hAnsi="Calibri"/>
                      <w:color w:val="000000"/>
                      <w:sz w:val="22"/>
                      <w:szCs w:val="22"/>
                    </w:rPr>
                    <w:t>hrs</w:t>
                  </w:r>
                  <w:proofErr w:type="spellEnd"/>
                  <w:r w:rsidR="00A800DB">
                    <w:rPr>
                      <w:rFonts w:ascii="Calibri" w:hAnsi="Calibri"/>
                      <w:color w:val="000000"/>
                      <w:sz w:val="22"/>
                      <w:szCs w:val="22"/>
                    </w:rPr>
                    <w:t xml:space="preserve"> (120 hours per year)</w:t>
                  </w:r>
                </w:p>
              </w:tc>
            </w:tr>
            <w:tr w:rsidR="00CB4AAC" w:rsidRPr="00696A9B" w14:paraId="01F5E288" w14:textId="77777777" w:rsidTr="00CB4AAC">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D9E65F2" w14:textId="77777777" w:rsidR="00CB4AAC" w:rsidRPr="00696A9B" w:rsidRDefault="001B2445" w:rsidP="00CB4AAC">
                  <w:pPr>
                    <w:rPr>
                      <w:rFonts w:ascii="Calibri" w:hAnsi="Calibri"/>
                      <w:color w:val="000000"/>
                      <w:sz w:val="22"/>
                      <w:szCs w:val="22"/>
                    </w:rPr>
                  </w:pPr>
                  <w:r>
                    <w:rPr>
                      <w:rFonts w:ascii="Calibri" w:hAnsi="Calibri"/>
                      <w:color w:val="000000"/>
                      <w:sz w:val="22"/>
                      <w:szCs w:val="22"/>
                    </w:rPr>
                    <w:t>5</w:t>
                  </w:r>
                  <w:r w:rsidR="00CB4AAC" w:rsidRPr="00696A9B">
                    <w:rPr>
                      <w:rFonts w:ascii="Calibri" w:hAnsi="Calibri"/>
                      <w:color w:val="000000"/>
                      <w:sz w:val="22"/>
                      <w:szCs w:val="22"/>
                    </w:rPr>
                    <w:t xml:space="preserve"> through </w:t>
                  </w:r>
                  <w:r w:rsidR="0075540D">
                    <w:rPr>
                      <w:rFonts w:ascii="Calibri" w:hAnsi="Calibri"/>
                      <w:color w:val="000000"/>
                      <w:sz w:val="22"/>
                      <w:szCs w:val="22"/>
                    </w:rPr>
                    <w:t>10</w:t>
                  </w:r>
                </w:p>
              </w:tc>
              <w:tc>
                <w:tcPr>
                  <w:tcW w:w="3041" w:type="dxa"/>
                  <w:tcBorders>
                    <w:top w:val="nil"/>
                    <w:left w:val="nil"/>
                    <w:bottom w:val="single" w:sz="4" w:space="0" w:color="auto"/>
                    <w:right w:val="single" w:sz="4" w:space="0" w:color="auto"/>
                  </w:tcBorders>
                  <w:shd w:val="clear" w:color="auto" w:fill="auto"/>
                  <w:noWrap/>
                  <w:vAlign w:val="bottom"/>
                  <w:hideMark/>
                </w:tcPr>
                <w:p w14:paraId="50B9C636" w14:textId="77777777" w:rsidR="00CB4AAC" w:rsidRPr="00696A9B" w:rsidRDefault="000E0E72" w:rsidP="00CB4AAC">
                  <w:pPr>
                    <w:rPr>
                      <w:rFonts w:ascii="Calibri" w:hAnsi="Calibri"/>
                      <w:color w:val="000000"/>
                      <w:sz w:val="22"/>
                      <w:szCs w:val="22"/>
                    </w:rPr>
                  </w:pPr>
                  <w:r>
                    <w:rPr>
                      <w:rFonts w:ascii="Calibri" w:hAnsi="Calibri"/>
                      <w:color w:val="000000"/>
                      <w:sz w:val="22"/>
                      <w:szCs w:val="22"/>
                    </w:rPr>
                    <w:t>6.1539</w:t>
                  </w:r>
                  <w:r w:rsidR="00CB4AAC" w:rsidRPr="00696A9B">
                    <w:rPr>
                      <w:rFonts w:ascii="Calibri" w:hAnsi="Calibri"/>
                      <w:color w:val="000000"/>
                      <w:sz w:val="22"/>
                      <w:szCs w:val="22"/>
                    </w:rPr>
                    <w:t xml:space="preserve"> </w:t>
                  </w:r>
                  <w:proofErr w:type="spellStart"/>
                  <w:r w:rsidR="00CB4AAC" w:rsidRPr="00696A9B">
                    <w:rPr>
                      <w:rFonts w:ascii="Calibri" w:hAnsi="Calibri"/>
                      <w:color w:val="000000"/>
                      <w:sz w:val="22"/>
                      <w:szCs w:val="22"/>
                    </w:rPr>
                    <w:t>hrs</w:t>
                  </w:r>
                  <w:proofErr w:type="spellEnd"/>
                  <w:r w:rsidR="00A800DB">
                    <w:rPr>
                      <w:rFonts w:ascii="Calibri" w:hAnsi="Calibri"/>
                      <w:color w:val="000000"/>
                      <w:sz w:val="22"/>
                      <w:szCs w:val="22"/>
                    </w:rPr>
                    <w:t xml:space="preserve"> (160 hours per year)</w:t>
                  </w:r>
                </w:p>
              </w:tc>
            </w:tr>
            <w:tr w:rsidR="00CB4AAC" w:rsidRPr="00696A9B" w14:paraId="2735F034" w14:textId="77777777" w:rsidTr="00CB4AAC">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10037DF" w14:textId="77777777" w:rsidR="00CB4AAC" w:rsidRPr="00696A9B" w:rsidRDefault="0075540D" w:rsidP="00CB4AAC">
                  <w:pPr>
                    <w:rPr>
                      <w:rFonts w:ascii="Calibri" w:hAnsi="Calibri"/>
                      <w:color w:val="000000"/>
                      <w:sz w:val="22"/>
                      <w:szCs w:val="22"/>
                    </w:rPr>
                  </w:pPr>
                  <w:r>
                    <w:rPr>
                      <w:rFonts w:ascii="Calibri" w:hAnsi="Calibri"/>
                      <w:color w:val="000000"/>
                      <w:sz w:val="22"/>
                      <w:szCs w:val="22"/>
                    </w:rPr>
                    <w:t>11</w:t>
                  </w:r>
                  <w:r w:rsidR="00CB4AAC" w:rsidRPr="00696A9B">
                    <w:rPr>
                      <w:rFonts w:ascii="Calibri" w:hAnsi="Calibri"/>
                      <w:color w:val="000000"/>
                      <w:sz w:val="22"/>
                      <w:szCs w:val="22"/>
                    </w:rPr>
                    <w:t xml:space="preserve"> plus years</w:t>
                  </w:r>
                </w:p>
              </w:tc>
              <w:tc>
                <w:tcPr>
                  <w:tcW w:w="3041" w:type="dxa"/>
                  <w:tcBorders>
                    <w:top w:val="nil"/>
                    <w:left w:val="nil"/>
                    <w:bottom w:val="single" w:sz="4" w:space="0" w:color="auto"/>
                    <w:right w:val="single" w:sz="4" w:space="0" w:color="auto"/>
                  </w:tcBorders>
                  <w:shd w:val="clear" w:color="auto" w:fill="auto"/>
                  <w:noWrap/>
                  <w:vAlign w:val="bottom"/>
                  <w:hideMark/>
                </w:tcPr>
                <w:p w14:paraId="106C5643" w14:textId="77777777" w:rsidR="00CB4AAC" w:rsidRPr="00696A9B" w:rsidRDefault="000E0E72" w:rsidP="000E0E72">
                  <w:pPr>
                    <w:rPr>
                      <w:rFonts w:ascii="Calibri" w:hAnsi="Calibri"/>
                      <w:color w:val="000000"/>
                      <w:sz w:val="22"/>
                      <w:szCs w:val="22"/>
                    </w:rPr>
                  </w:pPr>
                  <w:r>
                    <w:rPr>
                      <w:rFonts w:ascii="Calibri" w:hAnsi="Calibri"/>
                      <w:color w:val="000000"/>
                      <w:sz w:val="22"/>
                      <w:szCs w:val="22"/>
                    </w:rPr>
                    <w:t xml:space="preserve">7.6918 </w:t>
                  </w:r>
                  <w:proofErr w:type="spellStart"/>
                  <w:r>
                    <w:rPr>
                      <w:rFonts w:ascii="Calibri" w:hAnsi="Calibri"/>
                      <w:color w:val="000000"/>
                      <w:sz w:val="22"/>
                      <w:szCs w:val="22"/>
                    </w:rPr>
                    <w:t>hrs</w:t>
                  </w:r>
                  <w:proofErr w:type="spellEnd"/>
                  <w:r w:rsidR="00A800DB">
                    <w:rPr>
                      <w:rFonts w:ascii="Calibri" w:hAnsi="Calibri"/>
                      <w:color w:val="000000"/>
                      <w:sz w:val="22"/>
                      <w:szCs w:val="22"/>
                    </w:rPr>
                    <w:t xml:space="preserve"> (200 hours per year)</w:t>
                  </w:r>
                </w:p>
              </w:tc>
            </w:tr>
          </w:tbl>
          <w:p w14:paraId="5B4CC6A4" w14:textId="77777777" w:rsidR="00394CC2" w:rsidRDefault="00394CC2" w:rsidP="00CB4AAC">
            <w:pPr>
              <w:pStyle w:val="BodyText"/>
              <w:rPr>
                <w:sz w:val="22"/>
              </w:rPr>
            </w:pPr>
            <w:r>
              <w:rPr>
                <w:sz w:val="22"/>
              </w:rPr>
              <w:t>Note</w:t>
            </w:r>
            <w:r w:rsidR="00CB4AAC">
              <w:rPr>
                <w:sz w:val="22"/>
              </w:rPr>
              <w:t>: E</w:t>
            </w:r>
            <w:r>
              <w:rPr>
                <w:sz w:val="22"/>
              </w:rPr>
              <w:t>mployees that have transitioned from a contract assumed by Total Solutions will receive credit for their service on the transitioned contract.</w:t>
            </w:r>
          </w:p>
        </w:tc>
      </w:tr>
      <w:tr w:rsidR="00AE4320" w14:paraId="32670EFF" w14:textId="77777777">
        <w:tc>
          <w:tcPr>
            <w:tcW w:w="3192" w:type="dxa"/>
          </w:tcPr>
          <w:p w14:paraId="2104DF41" w14:textId="77777777" w:rsidR="00AE4320" w:rsidRDefault="00AE4320">
            <w:pPr>
              <w:jc w:val="center"/>
              <w:rPr>
                <w:rFonts w:ascii="Arial" w:hAnsi="Arial"/>
                <w:sz w:val="22"/>
              </w:rPr>
            </w:pPr>
            <w:r>
              <w:rPr>
                <w:rFonts w:ascii="Arial" w:hAnsi="Arial"/>
                <w:sz w:val="22"/>
              </w:rPr>
              <w:t>Paid holidays</w:t>
            </w:r>
          </w:p>
        </w:tc>
        <w:tc>
          <w:tcPr>
            <w:tcW w:w="6906" w:type="dxa"/>
          </w:tcPr>
          <w:p w14:paraId="52F59522" w14:textId="368A246B" w:rsidR="00AE4320" w:rsidRPr="00AE4320" w:rsidRDefault="00AE4320">
            <w:pPr>
              <w:pStyle w:val="BodyText"/>
              <w:rPr>
                <w:sz w:val="22"/>
                <w:szCs w:val="22"/>
              </w:rPr>
            </w:pPr>
            <w:r w:rsidRPr="00AE4320">
              <w:rPr>
                <w:sz w:val="22"/>
                <w:szCs w:val="22"/>
              </w:rPr>
              <w:t xml:space="preserve">Regular full-time employees are paid on the </w:t>
            </w:r>
            <w:r w:rsidR="00320F7E">
              <w:rPr>
                <w:sz w:val="22"/>
                <w:szCs w:val="22"/>
              </w:rPr>
              <w:t>eleven</w:t>
            </w:r>
            <w:r w:rsidRPr="00AE4320">
              <w:rPr>
                <w:sz w:val="22"/>
                <w:szCs w:val="22"/>
              </w:rPr>
              <w:t xml:space="preserve"> (1</w:t>
            </w:r>
            <w:r w:rsidR="00320F7E">
              <w:rPr>
                <w:sz w:val="22"/>
                <w:szCs w:val="22"/>
              </w:rPr>
              <w:t>1</w:t>
            </w:r>
            <w:r w:rsidRPr="00AE4320">
              <w:rPr>
                <w:sz w:val="22"/>
                <w:szCs w:val="22"/>
              </w:rPr>
              <w:t xml:space="preserve">) government holidays.  The paid holidays are New Year’s Day, Martin Luther King, Jr. </w:t>
            </w:r>
            <w:r w:rsidR="00257DC0">
              <w:rPr>
                <w:sz w:val="22"/>
                <w:szCs w:val="22"/>
              </w:rPr>
              <w:t>Day</w:t>
            </w:r>
            <w:r w:rsidRPr="00AE4320">
              <w:rPr>
                <w:sz w:val="22"/>
                <w:szCs w:val="22"/>
              </w:rPr>
              <w:t xml:space="preserve">, </w:t>
            </w:r>
            <w:r w:rsidR="00257DC0">
              <w:rPr>
                <w:sz w:val="22"/>
                <w:szCs w:val="22"/>
              </w:rPr>
              <w:t>President’s Day,</w:t>
            </w:r>
            <w:r w:rsidRPr="00AE4320">
              <w:rPr>
                <w:sz w:val="22"/>
                <w:szCs w:val="22"/>
              </w:rPr>
              <w:t xml:space="preserve"> </w:t>
            </w:r>
            <w:r w:rsidR="00336ECB">
              <w:rPr>
                <w:sz w:val="22"/>
                <w:szCs w:val="22"/>
              </w:rPr>
              <w:t xml:space="preserve">Juneteenth, </w:t>
            </w:r>
            <w:r w:rsidRPr="00AE4320">
              <w:rPr>
                <w:sz w:val="22"/>
                <w:szCs w:val="22"/>
              </w:rPr>
              <w:t xml:space="preserve">Memorial Day, Independence Day, Labor Day, Columbus Day, Veterans’ Day, Thanksgiving Day, and Christmas Day.  Regular part-time employees </w:t>
            </w:r>
            <w:r w:rsidR="007F787E">
              <w:rPr>
                <w:sz w:val="22"/>
                <w:szCs w:val="22"/>
              </w:rPr>
              <w:t xml:space="preserve">receive </w:t>
            </w:r>
            <w:r w:rsidR="00A770E3">
              <w:rPr>
                <w:sz w:val="22"/>
                <w:szCs w:val="22"/>
              </w:rPr>
              <w:t>half of the fulltime rate.</w:t>
            </w:r>
          </w:p>
        </w:tc>
      </w:tr>
      <w:tr w:rsidR="00AE4320" w14:paraId="3DE05834" w14:textId="77777777">
        <w:tc>
          <w:tcPr>
            <w:tcW w:w="3192" w:type="dxa"/>
          </w:tcPr>
          <w:p w14:paraId="36B717B7" w14:textId="77777777" w:rsidR="00AE4320" w:rsidRDefault="00AE4320">
            <w:pPr>
              <w:jc w:val="center"/>
              <w:rPr>
                <w:rFonts w:ascii="Arial" w:hAnsi="Arial"/>
                <w:sz w:val="22"/>
              </w:rPr>
            </w:pPr>
            <w:r>
              <w:rPr>
                <w:rFonts w:ascii="Arial" w:hAnsi="Arial"/>
                <w:sz w:val="22"/>
              </w:rPr>
              <w:t>401K</w:t>
            </w:r>
          </w:p>
        </w:tc>
        <w:tc>
          <w:tcPr>
            <w:tcW w:w="6906" w:type="dxa"/>
          </w:tcPr>
          <w:p w14:paraId="2915A179" w14:textId="5AED45F0" w:rsidR="00AE4320" w:rsidRPr="00AE4320" w:rsidRDefault="00AE4320" w:rsidP="009F16CF">
            <w:pPr>
              <w:pStyle w:val="BodyText"/>
              <w:rPr>
                <w:rFonts w:cs="Arial"/>
                <w:sz w:val="22"/>
                <w:szCs w:val="22"/>
              </w:rPr>
            </w:pPr>
            <w:r w:rsidRPr="00AE4320">
              <w:rPr>
                <w:rFonts w:cs="Arial"/>
                <w:color w:val="363434"/>
                <w:sz w:val="22"/>
                <w:szCs w:val="22"/>
              </w:rPr>
              <w:t>Total Solutions, Inc. matches</w:t>
            </w:r>
            <w:r w:rsidRPr="00AE4320">
              <w:rPr>
                <w:sz w:val="22"/>
                <w:szCs w:val="22"/>
              </w:rPr>
              <w:t xml:space="preserve"> </w:t>
            </w:r>
            <w:r w:rsidRPr="00AE4320">
              <w:rPr>
                <w:rFonts w:cs="Arial"/>
                <w:color w:val="363434"/>
                <w:sz w:val="22"/>
                <w:szCs w:val="22"/>
              </w:rPr>
              <w:t>contributions (</w:t>
            </w:r>
            <w:r w:rsidR="003522F8">
              <w:rPr>
                <w:rFonts w:cs="Arial"/>
                <w:color w:val="363434"/>
                <w:sz w:val="22"/>
                <w:szCs w:val="22"/>
              </w:rPr>
              <w:t>100</w:t>
            </w:r>
            <w:r w:rsidRPr="00AE4320">
              <w:rPr>
                <w:rFonts w:cs="Arial"/>
                <w:color w:val="363434"/>
                <w:sz w:val="22"/>
                <w:szCs w:val="22"/>
              </w:rPr>
              <w:t>% of employe</w:t>
            </w:r>
            <w:r w:rsidR="006E348D">
              <w:rPr>
                <w:rFonts w:cs="Arial"/>
                <w:color w:val="363434"/>
                <w:sz w:val="22"/>
                <w:szCs w:val="22"/>
              </w:rPr>
              <w:t xml:space="preserve">e contributions up to a max of </w:t>
            </w:r>
            <w:r w:rsidR="0089485F">
              <w:rPr>
                <w:rFonts w:cs="Arial"/>
                <w:color w:val="363434"/>
                <w:sz w:val="22"/>
                <w:szCs w:val="22"/>
              </w:rPr>
              <w:t>5</w:t>
            </w:r>
            <w:r w:rsidRPr="00AE4320">
              <w:rPr>
                <w:rFonts w:cs="Arial"/>
                <w:color w:val="363434"/>
                <w:sz w:val="22"/>
                <w:szCs w:val="22"/>
              </w:rPr>
              <w:t>% of the employee’s salary) to a 401(k) plan</w:t>
            </w:r>
            <w:r w:rsidR="008A2A29">
              <w:rPr>
                <w:rFonts w:cs="Arial"/>
                <w:color w:val="363434"/>
                <w:sz w:val="22"/>
                <w:szCs w:val="22"/>
              </w:rPr>
              <w:t xml:space="preserve"> with BBNC-Matrix Trust.</w:t>
            </w:r>
          </w:p>
        </w:tc>
      </w:tr>
      <w:tr w:rsidR="00AE4320" w14:paraId="6F66AF61" w14:textId="77777777">
        <w:tc>
          <w:tcPr>
            <w:tcW w:w="3192" w:type="dxa"/>
          </w:tcPr>
          <w:p w14:paraId="62A49409" w14:textId="77777777" w:rsidR="00AE4320" w:rsidRDefault="00AE4320">
            <w:pPr>
              <w:jc w:val="center"/>
              <w:rPr>
                <w:rFonts w:ascii="Arial" w:hAnsi="Arial"/>
                <w:sz w:val="22"/>
              </w:rPr>
            </w:pPr>
            <w:r>
              <w:rPr>
                <w:rFonts w:ascii="Arial" w:hAnsi="Arial"/>
                <w:sz w:val="22"/>
              </w:rPr>
              <w:t>Accidental Death and Dismemberment</w:t>
            </w:r>
          </w:p>
        </w:tc>
        <w:tc>
          <w:tcPr>
            <w:tcW w:w="6906" w:type="dxa"/>
          </w:tcPr>
          <w:p w14:paraId="5ED0129B" w14:textId="0FF19906" w:rsidR="00AE4320" w:rsidRDefault="00AE4320" w:rsidP="008F2932">
            <w:pPr>
              <w:pStyle w:val="BodyText"/>
              <w:rPr>
                <w:sz w:val="22"/>
              </w:rPr>
            </w:pPr>
            <w:r>
              <w:rPr>
                <w:sz w:val="22"/>
              </w:rPr>
              <w:t>Regular fulltime employees are provided $50,000 Accidental Death and Dismemberment at no cost to the employee</w:t>
            </w:r>
            <w:r w:rsidR="006E348D">
              <w:rPr>
                <w:sz w:val="22"/>
              </w:rPr>
              <w:t xml:space="preserve">.  </w:t>
            </w:r>
          </w:p>
        </w:tc>
      </w:tr>
      <w:tr w:rsidR="00AE4320" w14:paraId="469E10FB" w14:textId="77777777">
        <w:tc>
          <w:tcPr>
            <w:tcW w:w="3192" w:type="dxa"/>
          </w:tcPr>
          <w:p w14:paraId="51630BBB" w14:textId="77777777" w:rsidR="00AE4320" w:rsidRDefault="00AE4320">
            <w:pPr>
              <w:jc w:val="center"/>
              <w:rPr>
                <w:rFonts w:ascii="Arial" w:hAnsi="Arial"/>
                <w:sz w:val="22"/>
              </w:rPr>
            </w:pPr>
            <w:r>
              <w:rPr>
                <w:rFonts w:ascii="Arial" w:hAnsi="Arial"/>
                <w:sz w:val="22"/>
              </w:rPr>
              <w:t>Life Insurance</w:t>
            </w:r>
          </w:p>
        </w:tc>
        <w:tc>
          <w:tcPr>
            <w:tcW w:w="6906" w:type="dxa"/>
          </w:tcPr>
          <w:p w14:paraId="5FC5E990" w14:textId="42883E17" w:rsidR="00AE4320" w:rsidRDefault="00AE4320" w:rsidP="000E0E72">
            <w:pPr>
              <w:pStyle w:val="BodyText"/>
              <w:rPr>
                <w:sz w:val="22"/>
              </w:rPr>
            </w:pPr>
            <w:r>
              <w:rPr>
                <w:sz w:val="22"/>
              </w:rPr>
              <w:t>Regular fulltime employees are provided $50,000 basic life insurance at no cost to the employee</w:t>
            </w:r>
            <w:r w:rsidR="006E348D">
              <w:rPr>
                <w:sz w:val="22"/>
              </w:rPr>
              <w:t xml:space="preserve">.  </w:t>
            </w:r>
          </w:p>
        </w:tc>
      </w:tr>
      <w:tr w:rsidR="00AE4320" w14:paraId="73B9FD7B" w14:textId="77777777">
        <w:tc>
          <w:tcPr>
            <w:tcW w:w="3192" w:type="dxa"/>
          </w:tcPr>
          <w:p w14:paraId="38FE3497" w14:textId="77777777" w:rsidR="00AE4320" w:rsidRDefault="00AE4320" w:rsidP="005D6F6C">
            <w:pPr>
              <w:jc w:val="center"/>
              <w:rPr>
                <w:rFonts w:ascii="Arial" w:hAnsi="Arial"/>
                <w:sz w:val="22"/>
              </w:rPr>
            </w:pPr>
            <w:r>
              <w:rPr>
                <w:rFonts w:ascii="Arial" w:hAnsi="Arial"/>
                <w:sz w:val="22"/>
              </w:rPr>
              <w:t>Short-Term Disability</w:t>
            </w:r>
          </w:p>
        </w:tc>
        <w:tc>
          <w:tcPr>
            <w:tcW w:w="6906" w:type="dxa"/>
          </w:tcPr>
          <w:p w14:paraId="0B3462AB" w14:textId="77777777" w:rsidR="00AE4320" w:rsidRDefault="00AE4320" w:rsidP="005D6F6C">
            <w:pPr>
              <w:pStyle w:val="BodyText"/>
              <w:rPr>
                <w:sz w:val="22"/>
              </w:rPr>
            </w:pPr>
            <w:r>
              <w:rPr>
                <w:sz w:val="22"/>
              </w:rPr>
              <w:t>Total Solutions provides short-term disability coverage for regular full-time employees.  Weekly benefit is 60% of the eligible employee’s basic weekly earnings up to the weekly plan maximum as defined in the summary plan document.  This benefit is provided at no cost to the employee.</w:t>
            </w:r>
          </w:p>
        </w:tc>
      </w:tr>
      <w:tr w:rsidR="00AE4320" w14:paraId="16C19252" w14:textId="77777777">
        <w:tc>
          <w:tcPr>
            <w:tcW w:w="3192" w:type="dxa"/>
          </w:tcPr>
          <w:p w14:paraId="413E3CD6" w14:textId="77777777" w:rsidR="00AE4320" w:rsidRDefault="00AE4320">
            <w:pPr>
              <w:jc w:val="center"/>
              <w:rPr>
                <w:rFonts w:ascii="Arial" w:hAnsi="Arial"/>
                <w:sz w:val="22"/>
              </w:rPr>
            </w:pPr>
            <w:r>
              <w:rPr>
                <w:rFonts w:ascii="Arial" w:hAnsi="Arial"/>
                <w:sz w:val="22"/>
              </w:rPr>
              <w:t>Long-Term Disability</w:t>
            </w:r>
          </w:p>
        </w:tc>
        <w:tc>
          <w:tcPr>
            <w:tcW w:w="6906" w:type="dxa"/>
          </w:tcPr>
          <w:p w14:paraId="0BB0BFFA" w14:textId="77777777" w:rsidR="00AE4320" w:rsidRDefault="00AE4320">
            <w:pPr>
              <w:pStyle w:val="BodyText"/>
              <w:rPr>
                <w:sz w:val="22"/>
              </w:rPr>
            </w:pPr>
            <w:r>
              <w:rPr>
                <w:sz w:val="22"/>
              </w:rPr>
              <w:t>Total Solutions provides long-term disability coverage for regular full-time employees up to 60% of the employee’s gross monthly salary and up to the monthly plan maximum as defined in the summary plan document.  This benefit is provided at no cost to the employee.</w:t>
            </w:r>
          </w:p>
        </w:tc>
      </w:tr>
      <w:tr w:rsidR="00AE4320" w14:paraId="60F55BAB" w14:textId="77777777">
        <w:tc>
          <w:tcPr>
            <w:tcW w:w="3192" w:type="dxa"/>
          </w:tcPr>
          <w:p w14:paraId="1B17059E" w14:textId="77777777" w:rsidR="00AE4320" w:rsidRDefault="00AE4320" w:rsidP="000760F0">
            <w:pPr>
              <w:jc w:val="center"/>
              <w:rPr>
                <w:rFonts w:ascii="Arial" w:hAnsi="Arial"/>
                <w:sz w:val="22"/>
              </w:rPr>
            </w:pPr>
            <w:r>
              <w:rPr>
                <w:rFonts w:ascii="Arial" w:hAnsi="Arial"/>
                <w:sz w:val="22"/>
              </w:rPr>
              <w:t>Medical Insurance</w:t>
            </w:r>
          </w:p>
        </w:tc>
        <w:tc>
          <w:tcPr>
            <w:tcW w:w="6906" w:type="dxa"/>
          </w:tcPr>
          <w:p w14:paraId="5D3F5038" w14:textId="77777777" w:rsidR="00AE4320" w:rsidRDefault="00AE4320" w:rsidP="008F2932">
            <w:pPr>
              <w:pStyle w:val="BodyText"/>
              <w:rPr>
                <w:sz w:val="22"/>
              </w:rPr>
            </w:pPr>
            <w:r>
              <w:rPr>
                <w:sz w:val="22"/>
              </w:rPr>
              <w:t xml:space="preserve">Medical insurance is available for all regular, full-time employees through Blue Cross Blue Shield of Alabama.  Total Solutions, Inc. pays </w:t>
            </w:r>
            <w:proofErr w:type="gramStart"/>
            <w:r>
              <w:rPr>
                <w:sz w:val="22"/>
              </w:rPr>
              <w:t>the majority of</w:t>
            </w:r>
            <w:proofErr w:type="gramEnd"/>
            <w:r>
              <w:rPr>
                <w:sz w:val="22"/>
              </w:rPr>
              <w:t xml:space="preserve"> the premium for the employee only coverage and a significant portion of the family coverage</w:t>
            </w:r>
            <w:r w:rsidR="008F2932">
              <w:rPr>
                <w:sz w:val="22"/>
              </w:rPr>
              <w:t xml:space="preserve"> options’</w:t>
            </w:r>
            <w:r>
              <w:rPr>
                <w:sz w:val="22"/>
              </w:rPr>
              <w:t xml:space="preserve"> premium. </w:t>
            </w:r>
          </w:p>
        </w:tc>
      </w:tr>
      <w:tr w:rsidR="00AE4320" w14:paraId="5671DF04" w14:textId="77777777">
        <w:tc>
          <w:tcPr>
            <w:tcW w:w="3192" w:type="dxa"/>
          </w:tcPr>
          <w:p w14:paraId="3FCA9B78" w14:textId="77777777" w:rsidR="00AE4320" w:rsidRDefault="00AE4320" w:rsidP="006C185C">
            <w:pPr>
              <w:jc w:val="center"/>
              <w:rPr>
                <w:rFonts w:ascii="Arial" w:hAnsi="Arial"/>
                <w:sz w:val="22"/>
              </w:rPr>
            </w:pPr>
            <w:r>
              <w:rPr>
                <w:rFonts w:ascii="Arial" w:hAnsi="Arial"/>
                <w:sz w:val="22"/>
              </w:rPr>
              <w:t>Dental Insurance</w:t>
            </w:r>
          </w:p>
        </w:tc>
        <w:tc>
          <w:tcPr>
            <w:tcW w:w="6906" w:type="dxa"/>
          </w:tcPr>
          <w:p w14:paraId="5ABB1718" w14:textId="77777777" w:rsidR="00AE4320" w:rsidRDefault="00AE4320" w:rsidP="00872B52">
            <w:pPr>
              <w:pStyle w:val="BodyText"/>
              <w:rPr>
                <w:sz w:val="22"/>
              </w:rPr>
            </w:pPr>
            <w:r>
              <w:rPr>
                <w:sz w:val="22"/>
              </w:rPr>
              <w:t xml:space="preserve">Dental insurance is available for all regular, full-time employees through </w:t>
            </w:r>
            <w:r w:rsidR="00872B52">
              <w:rPr>
                <w:sz w:val="22"/>
              </w:rPr>
              <w:t>Blue Cross Blue Shield</w:t>
            </w:r>
            <w:r>
              <w:rPr>
                <w:sz w:val="22"/>
              </w:rPr>
              <w:t xml:space="preserve"> to ensure employees, and their dependents have access to a network dental provider nearby.  In addition to a greater network of providers, our plan waives the deductible for diagnostic &amp; preventative services (exams, cleanings, </w:t>
            </w:r>
            <w:proofErr w:type="gramStart"/>
            <w:r>
              <w:rPr>
                <w:sz w:val="22"/>
              </w:rPr>
              <w:t>x-rays</w:t>
            </w:r>
            <w:proofErr w:type="gramEnd"/>
            <w:r>
              <w:rPr>
                <w:sz w:val="22"/>
              </w:rPr>
              <w:t xml:space="preserve"> and sealants) while providing more comprehensive coverage </w:t>
            </w:r>
            <w:r>
              <w:rPr>
                <w:sz w:val="22"/>
              </w:rPr>
              <w:lastRenderedPageBreak/>
              <w:t xml:space="preserve">in and out of network.    The cost of individual and family dental insurance is shared between the employer and employee.  </w:t>
            </w:r>
          </w:p>
        </w:tc>
      </w:tr>
      <w:tr w:rsidR="00AE4320" w14:paraId="104FF6A4" w14:textId="77777777">
        <w:tc>
          <w:tcPr>
            <w:tcW w:w="3192" w:type="dxa"/>
          </w:tcPr>
          <w:p w14:paraId="69857A7C" w14:textId="77777777" w:rsidR="00AE4320" w:rsidRDefault="00AE4320" w:rsidP="006C185C">
            <w:pPr>
              <w:jc w:val="center"/>
              <w:rPr>
                <w:rFonts w:ascii="Arial" w:hAnsi="Arial"/>
                <w:sz w:val="22"/>
              </w:rPr>
            </w:pPr>
            <w:r>
              <w:rPr>
                <w:rFonts w:ascii="Arial" w:hAnsi="Arial"/>
                <w:sz w:val="22"/>
              </w:rPr>
              <w:lastRenderedPageBreak/>
              <w:t>Vision Insurance</w:t>
            </w:r>
          </w:p>
        </w:tc>
        <w:tc>
          <w:tcPr>
            <w:tcW w:w="6906" w:type="dxa"/>
          </w:tcPr>
          <w:p w14:paraId="40B8E5AD" w14:textId="77777777" w:rsidR="00AE4320" w:rsidRDefault="00AE4320" w:rsidP="00C653C9">
            <w:pPr>
              <w:pStyle w:val="BodyText"/>
              <w:rPr>
                <w:sz w:val="22"/>
              </w:rPr>
            </w:pPr>
            <w:r>
              <w:rPr>
                <w:sz w:val="22"/>
              </w:rPr>
              <w:t>Total Solutions offers all Regular, Full Time employees</w:t>
            </w:r>
            <w:r w:rsidR="000E0E72">
              <w:rPr>
                <w:sz w:val="22"/>
              </w:rPr>
              <w:t>’</w:t>
            </w:r>
            <w:r>
              <w:rPr>
                <w:sz w:val="22"/>
              </w:rPr>
              <w:t xml:space="preserve"> elective vision insurance through </w:t>
            </w:r>
            <w:proofErr w:type="spellStart"/>
            <w:r w:rsidR="00C653C9">
              <w:rPr>
                <w:sz w:val="22"/>
              </w:rPr>
              <w:t>Amertias</w:t>
            </w:r>
            <w:proofErr w:type="spellEnd"/>
            <w:r w:rsidR="00C653C9">
              <w:rPr>
                <w:sz w:val="22"/>
              </w:rPr>
              <w:t xml:space="preserve"> Group.</w:t>
            </w:r>
            <w:r>
              <w:rPr>
                <w:sz w:val="22"/>
              </w:rPr>
              <w:t xml:space="preserve">  </w:t>
            </w:r>
            <w:proofErr w:type="spellStart"/>
            <w:r w:rsidR="00C653C9">
              <w:rPr>
                <w:sz w:val="22"/>
              </w:rPr>
              <w:t>Ameritas</w:t>
            </w:r>
            <w:proofErr w:type="spellEnd"/>
            <w:r w:rsidR="00C653C9">
              <w:rPr>
                <w:sz w:val="22"/>
              </w:rPr>
              <w:t xml:space="preserve"> Group</w:t>
            </w:r>
            <w:r>
              <w:rPr>
                <w:sz w:val="22"/>
              </w:rPr>
              <w:t xml:space="preserve"> offers cost-effective premiums, reduced </w:t>
            </w:r>
            <w:proofErr w:type="spellStart"/>
            <w:r>
              <w:rPr>
                <w:sz w:val="22"/>
              </w:rPr>
              <w:t>out-of</w:t>
            </w:r>
            <w:proofErr w:type="spellEnd"/>
            <w:r>
              <w:rPr>
                <w:sz w:val="22"/>
              </w:rPr>
              <w:t xml:space="preserve"> pocket expenses, a national network of 29,000 vision care providers (both private practice and retail) and a member website with convenient online contact lens ordering.  Your new employee packet will include a </w:t>
            </w:r>
            <w:proofErr w:type="spellStart"/>
            <w:r w:rsidR="00C653C9">
              <w:rPr>
                <w:sz w:val="22"/>
              </w:rPr>
              <w:t>Ameritas</w:t>
            </w:r>
            <w:proofErr w:type="spellEnd"/>
            <w:r w:rsidR="00C653C9">
              <w:rPr>
                <w:sz w:val="22"/>
              </w:rPr>
              <w:t xml:space="preserve"> Group </w:t>
            </w:r>
            <w:r>
              <w:rPr>
                <w:sz w:val="22"/>
              </w:rPr>
              <w:t>vision benefit summary and enrollment application.</w:t>
            </w:r>
          </w:p>
        </w:tc>
      </w:tr>
      <w:tr w:rsidR="001A632F" w14:paraId="59222F33" w14:textId="77777777">
        <w:tc>
          <w:tcPr>
            <w:tcW w:w="3192" w:type="dxa"/>
          </w:tcPr>
          <w:p w14:paraId="66B5AE6B" w14:textId="42589D3C" w:rsidR="001A632F" w:rsidRDefault="001A632F">
            <w:pPr>
              <w:jc w:val="center"/>
              <w:rPr>
                <w:rFonts w:ascii="Arial" w:hAnsi="Arial"/>
                <w:sz w:val="22"/>
              </w:rPr>
            </w:pPr>
            <w:r>
              <w:rPr>
                <w:rFonts w:ascii="Arial" w:hAnsi="Arial"/>
                <w:sz w:val="22"/>
              </w:rPr>
              <w:t>Cafeteria Plan</w:t>
            </w:r>
          </w:p>
        </w:tc>
        <w:tc>
          <w:tcPr>
            <w:tcW w:w="6906" w:type="dxa"/>
          </w:tcPr>
          <w:p w14:paraId="62F12B97" w14:textId="5C94F098" w:rsidR="001A632F" w:rsidRDefault="001A632F" w:rsidP="000E0E72">
            <w:pPr>
              <w:pStyle w:val="BodyText"/>
              <w:rPr>
                <w:sz w:val="22"/>
              </w:rPr>
            </w:pPr>
            <w:r w:rsidRPr="00C51EF9">
              <w:rPr>
                <w:rFonts w:cs="Arial"/>
                <w:sz w:val="22"/>
                <w:szCs w:val="22"/>
              </w:rPr>
              <w:t>Under the Total Solutions Cafeteria Plan, employees pay for their medical, dental and vision insurance on a pre-tax basis.  Per IRS guidelines employees may only</w:t>
            </w:r>
            <w:r w:rsidRPr="00C51EF9">
              <w:rPr>
                <w:rFonts w:cs="Arial"/>
                <w:color w:val="000000"/>
                <w:sz w:val="22"/>
                <w:szCs w:val="22"/>
              </w:rPr>
              <w:t xml:space="preserve"> change their elections annually during open enrollment or because of a qualifying event.  Please contact the HR department for a </w:t>
            </w:r>
            <w:r>
              <w:rPr>
                <w:rFonts w:cs="Arial"/>
                <w:color w:val="000000"/>
                <w:sz w:val="22"/>
                <w:szCs w:val="22"/>
              </w:rPr>
              <w:t xml:space="preserve">full </w:t>
            </w:r>
            <w:r w:rsidRPr="00C51EF9">
              <w:rPr>
                <w:rFonts w:cs="Arial"/>
                <w:color w:val="000000"/>
                <w:sz w:val="22"/>
                <w:szCs w:val="22"/>
              </w:rPr>
              <w:t>list of qualifying events</w:t>
            </w:r>
            <w:r>
              <w:rPr>
                <w:rFonts w:cs="Arial"/>
                <w:color w:val="000000"/>
                <w:sz w:val="22"/>
                <w:szCs w:val="22"/>
              </w:rPr>
              <w:t xml:space="preserve">. </w:t>
            </w:r>
          </w:p>
        </w:tc>
      </w:tr>
      <w:tr w:rsidR="001A632F" w14:paraId="702EB645" w14:textId="77777777">
        <w:tc>
          <w:tcPr>
            <w:tcW w:w="3192" w:type="dxa"/>
          </w:tcPr>
          <w:p w14:paraId="0F798E39" w14:textId="79C45E90" w:rsidR="001A632F" w:rsidRDefault="001A632F">
            <w:pPr>
              <w:jc w:val="center"/>
              <w:rPr>
                <w:rFonts w:ascii="Arial" w:hAnsi="Arial"/>
                <w:sz w:val="22"/>
              </w:rPr>
            </w:pPr>
            <w:r>
              <w:rPr>
                <w:rFonts w:ascii="Arial" w:hAnsi="Arial"/>
                <w:sz w:val="22"/>
              </w:rPr>
              <w:t>Jury Duty</w:t>
            </w:r>
          </w:p>
        </w:tc>
        <w:tc>
          <w:tcPr>
            <w:tcW w:w="6906" w:type="dxa"/>
          </w:tcPr>
          <w:p w14:paraId="4551DA41" w14:textId="4DF47A71" w:rsidR="001A632F" w:rsidRPr="009F16CF" w:rsidRDefault="001A632F">
            <w:pPr>
              <w:pStyle w:val="BodyText"/>
              <w:rPr>
                <w:rFonts w:cs="Arial"/>
                <w:color w:val="000000"/>
                <w:sz w:val="22"/>
                <w:szCs w:val="22"/>
              </w:rPr>
            </w:pPr>
            <w:r>
              <w:rPr>
                <w:sz w:val="22"/>
              </w:rPr>
              <w:t>Full-time employees will be excused from work to perform jury duty and witness service.  While serving jury duty, employees will receive regular straight-time pay for up to two weeks (ten working days) per occurrence.  As allowed by the state’s laws, any amount paid to the employee for their service is deducted from the paid amount.</w:t>
            </w:r>
          </w:p>
        </w:tc>
      </w:tr>
      <w:tr w:rsidR="001A632F" w14:paraId="42CB56B3" w14:textId="77777777">
        <w:tc>
          <w:tcPr>
            <w:tcW w:w="3192" w:type="dxa"/>
          </w:tcPr>
          <w:p w14:paraId="4B1359EB" w14:textId="1C1D92D4" w:rsidR="001A632F" w:rsidRDefault="001A632F">
            <w:pPr>
              <w:jc w:val="center"/>
              <w:rPr>
                <w:rFonts w:ascii="Arial" w:hAnsi="Arial"/>
                <w:sz w:val="22"/>
              </w:rPr>
            </w:pPr>
            <w:r>
              <w:rPr>
                <w:rFonts w:ascii="Arial" w:hAnsi="Arial"/>
                <w:sz w:val="22"/>
              </w:rPr>
              <w:t>Administrative Leave</w:t>
            </w:r>
          </w:p>
        </w:tc>
        <w:tc>
          <w:tcPr>
            <w:tcW w:w="6906" w:type="dxa"/>
          </w:tcPr>
          <w:p w14:paraId="406D7918" w14:textId="6A18ED71" w:rsidR="001A632F" w:rsidRDefault="001A632F">
            <w:pPr>
              <w:pStyle w:val="BodyText"/>
              <w:rPr>
                <w:sz w:val="22"/>
              </w:rPr>
            </w:pPr>
            <w:r>
              <w:rPr>
                <w:sz w:val="22"/>
              </w:rPr>
              <w:t>Up to 24 hours of administrative leave is available per 12 month rolling period for emergency facility closings for regular full-time employees.  This amount will be prorated for regular part-time employees.   Administrative Leave must be approved by the Total Solutions President.   Employees subject to SCA requirements are not eligible for Administrative Leave.</w:t>
            </w:r>
          </w:p>
        </w:tc>
      </w:tr>
      <w:tr w:rsidR="001A632F" w14:paraId="35D87BC6" w14:textId="77777777">
        <w:tc>
          <w:tcPr>
            <w:tcW w:w="3192" w:type="dxa"/>
          </w:tcPr>
          <w:p w14:paraId="0DC9E7B9" w14:textId="6DEA380F" w:rsidR="001A632F" w:rsidRDefault="001A632F" w:rsidP="009F5C5D">
            <w:pPr>
              <w:jc w:val="center"/>
              <w:rPr>
                <w:rFonts w:ascii="Arial" w:hAnsi="Arial"/>
                <w:sz w:val="22"/>
              </w:rPr>
            </w:pPr>
            <w:r w:rsidRPr="00AE4320">
              <w:rPr>
                <w:rFonts w:ascii="Arial" w:hAnsi="Arial"/>
                <w:sz w:val="22"/>
                <w:szCs w:val="22"/>
              </w:rPr>
              <w:t>Bereavement Leave</w:t>
            </w:r>
          </w:p>
        </w:tc>
        <w:tc>
          <w:tcPr>
            <w:tcW w:w="6906" w:type="dxa"/>
          </w:tcPr>
          <w:p w14:paraId="312B4BBB" w14:textId="77777777" w:rsidR="001A632F" w:rsidRPr="00AE4320" w:rsidRDefault="001A632F" w:rsidP="009F5C5D">
            <w:pPr>
              <w:autoSpaceDE w:val="0"/>
              <w:autoSpaceDN w:val="0"/>
              <w:adjustRightInd w:val="0"/>
              <w:rPr>
                <w:rFonts w:ascii="Arial" w:hAnsi="Arial" w:cs="Arial"/>
                <w:sz w:val="22"/>
                <w:szCs w:val="22"/>
              </w:rPr>
            </w:pPr>
            <w:r w:rsidRPr="00AE4320">
              <w:rPr>
                <w:rFonts w:ascii="Arial" w:hAnsi="Arial" w:cs="Arial"/>
                <w:sz w:val="22"/>
                <w:szCs w:val="22"/>
              </w:rPr>
              <w:t xml:space="preserve">Up to 24 hours of bereavement leave is available per 12 month rolling period </w:t>
            </w:r>
            <w:r>
              <w:rPr>
                <w:rFonts w:ascii="Arial" w:hAnsi="Arial" w:cs="Arial"/>
                <w:sz w:val="22"/>
                <w:szCs w:val="22"/>
              </w:rPr>
              <w:t>in the</w:t>
            </w:r>
            <w:r w:rsidRPr="00AE4320">
              <w:rPr>
                <w:rFonts w:ascii="Arial" w:hAnsi="Arial" w:cs="Arial"/>
                <w:sz w:val="22"/>
                <w:szCs w:val="22"/>
              </w:rPr>
              <w:t xml:space="preserve"> event of the death of</w:t>
            </w:r>
            <w:r>
              <w:rPr>
                <w:rFonts w:ascii="Arial" w:hAnsi="Arial" w:cs="Arial"/>
                <w:sz w:val="22"/>
                <w:szCs w:val="22"/>
              </w:rPr>
              <w:t xml:space="preserve"> an</w:t>
            </w:r>
            <w:r w:rsidRPr="00AE4320">
              <w:rPr>
                <w:rFonts w:ascii="Arial" w:hAnsi="Arial" w:cs="Arial"/>
                <w:sz w:val="22"/>
                <w:szCs w:val="22"/>
              </w:rPr>
              <w:t xml:space="preserve"> employee’s</w:t>
            </w:r>
            <w:r>
              <w:rPr>
                <w:rFonts w:ascii="Arial" w:hAnsi="Arial" w:cs="Arial"/>
                <w:sz w:val="22"/>
                <w:szCs w:val="22"/>
              </w:rPr>
              <w:t xml:space="preserve"> immediate family member</w:t>
            </w:r>
            <w:r w:rsidRPr="00AE4320">
              <w:rPr>
                <w:rFonts w:ascii="Arial" w:hAnsi="Arial" w:cs="Arial"/>
                <w:sz w:val="22"/>
                <w:szCs w:val="22"/>
              </w:rPr>
              <w:t xml:space="preserve"> (parent</w:t>
            </w:r>
            <w:r>
              <w:rPr>
                <w:rFonts w:ascii="Arial" w:hAnsi="Arial" w:cs="Arial"/>
                <w:sz w:val="22"/>
                <w:szCs w:val="22"/>
              </w:rPr>
              <w:t xml:space="preserve"> (in law)</w:t>
            </w:r>
            <w:r w:rsidRPr="00AE4320">
              <w:rPr>
                <w:rFonts w:ascii="Arial" w:hAnsi="Arial" w:cs="Arial"/>
                <w:sz w:val="22"/>
                <w:szCs w:val="22"/>
              </w:rPr>
              <w:t>, grandparent,</w:t>
            </w:r>
            <w:r>
              <w:rPr>
                <w:rFonts w:ascii="Arial" w:hAnsi="Arial" w:cs="Arial"/>
                <w:sz w:val="22"/>
                <w:szCs w:val="22"/>
              </w:rPr>
              <w:t xml:space="preserve"> </w:t>
            </w:r>
            <w:r w:rsidRPr="00AE4320">
              <w:rPr>
                <w:rFonts w:ascii="Arial" w:hAnsi="Arial" w:cs="Arial"/>
                <w:sz w:val="22"/>
                <w:szCs w:val="22"/>
              </w:rPr>
              <w:t>spouse, sibling</w:t>
            </w:r>
            <w:r>
              <w:rPr>
                <w:rFonts w:ascii="Arial" w:hAnsi="Arial" w:cs="Arial"/>
                <w:sz w:val="22"/>
                <w:szCs w:val="22"/>
              </w:rPr>
              <w:t xml:space="preserve"> (in law)</w:t>
            </w:r>
            <w:r w:rsidRPr="00AE4320">
              <w:rPr>
                <w:rFonts w:ascii="Arial" w:hAnsi="Arial" w:cs="Arial"/>
                <w:sz w:val="22"/>
                <w:szCs w:val="22"/>
              </w:rPr>
              <w:t xml:space="preserve">, </w:t>
            </w:r>
            <w:r>
              <w:rPr>
                <w:rFonts w:ascii="Arial" w:hAnsi="Arial" w:cs="Arial"/>
                <w:sz w:val="22"/>
                <w:szCs w:val="22"/>
              </w:rPr>
              <w:t xml:space="preserve">children </w:t>
            </w:r>
            <w:r w:rsidRPr="00AE4320">
              <w:rPr>
                <w:rFonts w:ascii="Arial" w:hAnsi="Arial" w:cs="Arial"/>
                <w:sz w:val="22"/>
                <w:szCs w:val="22"/>
              </w:rPr>
              <w:t xml:space="preserve">and </w:t>
            </w:r>
            <w:r>
              <w:rPr>
                <w:rFonts w:ascii="Arial" w:hAnsi="Arial" w:cs="Arial"/>
                <w:sz w:val="22"/>
                <w:szCs w:val="22"/>
              </w:rPr>
              <w:t>grand</w:t>
            </w:r>
            <w:r w:rsidRPr="00AE4320">
              <w:rPr>
                <w:rFonts w:ascii="Arial" w:hAnsi="Arial" w:cs="Arial"/>
                <w:sz w:val="22"/>
                <w:szCs w:val="22"/>
              </w:rPr>
              <w:t>children).</w:t>
            </w:r>
          </w:p>
          <w:p w14:paraId="15CB5DC1" w14:textId="6505066B" w:rsidR="001A632F" w:rsidRDefault="001A632F" w:rsidP="00AE4320">
            <w:pPr>
              <w:pStyle w:val="BodyText"/>
              <w:rPr>
                <w:sz w:val="22"/>
              </w:rPr>
            </w:pPr>
            <w:r w:rsidRPr="00AE4320">
              <w:rPr>
                <w:rFonts w:cs="Arial"/>
                <w:sz w:val="22"/>
                <w:szCs w:val="22"/>
              </w:rPr>
              <w:t xml:space="preserve">This amount will be prorated for regular part-time employees.  </w:t>
            </w:r>
          </w:p>
        </w:tc>
      </w:tr>
      <w:tr w:rsidR="001A632F" w:rsidRPr="00AE4320" w14:paraId="4F4DD170" w14:textId="77777777" w:rsidTr="00F338B5">
        <w:tc>
          <w:tcPr>
            <w:tcW w:w="3192" w:type="dxa"/>
            <w:tcBorders>
              <w:bottom w:val="single" w:sz="4" w:space="0" w:color="auto"/>
            </w:tcBorders>
          </w:tcPr>
          <w:p w14:paraId="4D11196B" w14:textId="42E775DF" w:rsidR="001A632F" w:rsidRPr="00AE4320" w:rsidRDefault="001A632F" w:rsidP="009F5C5D">
            <w:pPr>
              <w:jc w:val="center"/>
              <w:rPr>
                <w:rFonts w:ascii="Arial" w:hAnsi="Arial"/>
                <w:sz w:val="22"/>
                <w:szCs w:val="22"/>
              </w:rPr>
            </w:pPr>
            <w:r>
              <w:rPr>
                <w:rFonts w:ascii="Arial" w:hAnsi="Arial"/>
                <w:sz w:val="22"/>
              </w:rPr>
              <w:t>Flexible Spending Account</w:t>
            </w:r>
          </w:p>
        </w:tc>
        <w:tc>
          <w:tcPr>
            <w:tcW w:w="6906" w:type="dxa"/>
            <w:tcBorders>
              <w:bottom w:val="single" w:sz="4" w:space="0" w:color="auto"/>
            </w:tcBorders>
          </w:tcPr>
          <w:p w14:paraId="0A72AD6D" w14:textId="77777777" w:rsidR="001A632F" w:rsidRDefault="001A632F">
            <w:pPr>
              <w:pStyle w:val="BodyText"/>
              <w:rPr>
                <w:sz w:val="22"/>
              </w:rPr>
            </w:pPr>
            <w:r>
              <w:rPr>
                <w:sz w:val="22"/>
              </w:rPr>
              <w:t xml:space="preserve">Total Solutions, Inc. offers </w:t>
            </w:r>
            <w:proofErr w:type="gramStart"/>
            <w:r>
              <w:rPr>
                <w:sz w:val="22"/>
              </w:rPr>
              <w:t>a</w:t>
            </w:r>
            <w:proofErr w:type="gramEnd"/>
            <w:r>
              <w:rPr>
                <w:sz w:val="22"/>
              </w:rPr>
              <w:t xml:space="preserve"> FSA through WageWorks for all full time employees.</w:t>
            </w:r>
          </w:p>
          <w:p w14:paraId="09E27276" w14:textId="44A1B391" w:rsidR="001A632F" w:rsidRPr="00AE4320" w:rsidRDefault="001A632F" w:rsidP="009F5C5D">
            <w:pPr>
              <w:pStyle w:val="BodyText"/>
              <w:rPr>
                <w:rFonts w:cs="Arial"/>
                <w:sz w:val="22"/>
                <w:szCs w:val="22"/>
              </w:rPr>
            </w:pPr>
          </w:p>
        </w:tc>
      </w:tr>
      <w:tr w:rsidR="001A632F" w14:paraId="616852DC" w14:textId="77777777" w:rsidTr="00F338B5">
        <w:trPr>
          <w:trHeight w:val="1157"/>
        </w:trPr>
        <w:tc>
          <w:tcPr>
            <w:tcW w:w="3192" w:type="dxa"/>
            <w:tcBorders>
              <w:top w:val="single" w:sz="4" w:space="0" w:color="auto"/>
            </w:tcBorders>
          </w:tcPr>
          <w:p w14:paraId="0CF71BDD" w14:textId="77777777" w:rsidR="001A632F" w:rsidRDefault="001A632F" w:rsidP="00023FD4">
            <w:pPr>
              <w:jc w:val="center"/>
              <w:rPr>
                <w:rFonts w:ascii="Arial" w:hAnsi="Arial"/>
                <w:sz w:val="22"/>
              </w:rPr>
            </w:pPr>
          </w:p>
          <w:p w14:paraId="226D4FD8" w14:textId="7EF4931F" w:rsidR="001A632F" w:rsidRDefault="001A632F" w:rsidP="00023FD4">
            <w:pPr>
              <w:jc w:val="center"/>
              <w:rPr>
                <w:rFonts w:ascii="Arial" w:hAnsi="Arial"/>
                <w:sz w:val="22"/>
              </w:rPr>
            </w:pPr>
            <w:r>
              <w:rPr>
                <w:rFonts w:ascii="Arial" w:hAnsi="Arial"/>
                <w:sz w:val="22"/>
              </w:rPr>
              <w:t>Employee Referral Program</w:t>
            </w:r>
          </w:p>
        </w:tc>
        <w:tc>
          <w:tcPr>
            <w:tcW w:w="6906" w:type="dxa"/>
            <w:tcBorders>
              <w:top w:val="single" w:sz="4" w:space="0" w:color="auto"/>
            </w:tcBorders>
          </w:tcPr>
          <w:p w14:paraId="07BD020E" w14:textId="77777777" w:rsidR="001A632F" w:rsidRDefault="001A632F" w:rsidP="00023FD4">
            <w:pPr>
              <w:pStyle w:val="BodyText"/>
              <w:rPr>
                <w:sz w:val="22"/>
              </w:rPr>
            </w:pPr>
          </w:p>
          <w:p w14:paraId="0019308D" w14:textId="790474E0" w:rsidR="001A632F" w:rsidRDefault="001A632F" w:rsidP="00023FD4">
            <w:pPr>
              <w:pStyle w:val="BodyText"/>
              <w:rPr>
                <w:sz w:val="22"/>
              </w:rPr>
            </w:pPr>
            <w:r>
              <w:rPr>
                <w:sz w:val="22"/>
              </w:rPr>
              <w:t xml:space="preserve">Total Solutions, Inc. offers a $200.00 referral bonus paid out after </w:t>
            </w:r>
            <w:proofErr w:type="spellStart"/>
            <w:r>
              <w:rPr>
                <w:sz w:val="22"/>
              </w:rPr>
              <w:t>referred</w:t>
            </w:r>
            <w:proofErr w:type="spellEnd"/>
            <w:r>
              <w:rPr>
                <w:sz w:val="22"/>
              </w:rPr>
              <w:t xml:space="preserve"> candidate is hired and completes 90 days of service.</w:t>
            </w:r>
          </w:p>
        </w:tc>
      </w:tr>
    </w:tbl>
    <w:p w14:paraId="7A3FA041" w14:textId="77777777" w:rsidR="00C7682F" w:rsidRDefault="00C7682F" w:rsidP="006E348D"/>
    <w:p w14:paraId="555B7E04" w14:textId="77777777" w:rsidR="00FF5848" w:rsidRDefault="00FF5848"/>
    <w:sectPr w:rsidR="00FF5848" w:rsidSect="005D6F6C">
      <w:headerReference w:type="even" r:id="rId11"/>
      <w:headerReference w:type="default" r:id="rId12"/>
      <w:footerReference w:type="even" r:id="rId13"/>
      <w:footerReference w:type="default" r:id="rId14"/>
      <w:headerReference w:type="first" r:id="rId15"/>
      <w:footerReference w:type="first" r:id="rId16"/>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B1F4" w14:textId="77777777" w:rsidR="00D66FF7" w:rsidRDefault="00D66FF7" w:rsidP="00A23297">
      <w:r>
        <w:separator/>
      </w:r>
    </w:p>
  </w:endnote>
  <w:endnote w:type="continuationSeparator" w:id="0">
    <w:p w14:paraId="501F87A0" w14:textId="77777777" w:rsidR="00D66FF7" w:rsidRDefault="00D66FF7" w:rsidP="00A2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D08B" w14:textId="77777777" w:rsidR="00B425EB" w:rsidRDefault="00B42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2BB1" w14:textId="4A9B3EC7" w:rsidR="00A23297" w:rsidRDefault="00A23297" w:rsidP="00A23297">
    <w:pPr>
      <w:pStyle w:val="Footer"/>
      <w:jc w:val="right"/>
    </w:pPr>
    <w:r>
      <w:t xml:space="preserve">Rev. </w:t>
    </w:r>
    <w:r w:rsidR="00B425EB">
      <w:t>4-5-2021</w:t>
    </w:r>
  </w:p>
  <w:p w14:paraId="314EE511" w14:textId="77777777" w:rsidR="00A23297" w:rsidRDefault="00A23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DC17" w14:textId="77777777" w:rsidR="00B425EB" w:rsidRDefault="00B42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DAB6" w14:textId="77777777" w:rsidR="00D66FF7" w:rsidRDefault="00D66FF7" w:rsidP="00A23297">
      <w:r>
        <w:separator/>
      </w:r>
    </w:p>
  </w:footnote>
  <w:footnote w:type="continuationSeparator" w:id="0">
    <w:p w14:paraId="3092A5C9" w14:textId="77777777" w:rsidR="00D66FF7" w:rsidRDefault="00D66FF7" w:rsidP="00A2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BBA3" w14:textId="77777777" w:rsidR="00B425EB" w:rsidRDefault="00B42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4EB5" w14:textId="77777777" w:rsidR="00B425EB" w:rsidRDefault="00B42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4246" w14:textId="77777777" w:rsidR="00B425EB" w:rsidRDefault="00B42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53"/>
    <w:rsid w:val="00023FD4"/>
    <w:rsid w:val="0003081A"/>
    <w:rsid w:val="00052578"/>
    <w:rsid w:val="00054C1B"/>
    <w:rsid w:val="000560A2"/>
    <w:rsid w:val="000760F0"/>
    <w:rsid w:val="000C2F80"/>
    <w:rsid w:val="000C5153"/>
    <w:rsid w:val="000E0E72"/>
    <w:rsid w:val="00102C50"/>
    <w:rsid w:val="00113889"/>
    <w:rsid w:val="001A632F"/>
    <w:rsid w:val="001B2445"/>
    <w:rsid w:val="001B590C"/>
    <w:rsid w:val="001E6D80"/>
    <w:rsid w:val="001F4626"/>
    <w:rsid w:val="00257DC0"/>
    <w:rsid w:val="002E67A5"/>
    <w:rsid w:val="002F06D3"/>
    <w:rsid w:val="002F2CB9"/>
    <w:rsid w:val="00320F7E"/>
    <w:rsid w:val="00336ECB"/>
    <w:rsid w:val="003522F8"/>
    <w:rsid w:val="00385E90"/>
    <w:rsid w:val="00394CC2"/>
    <w:rsid w:val="003C0A28"/>
    <w:rsid w:val="003F136C"/>
    <w:rsid w:val="00415297"/>
    <w:rsid w:val="00456F97"/>
    <w:rsid w:val="0047203F"/>
    <w:rsid w:val="004B554F"/>
    <w:rsid w:val="00507D5F"/>
    <w:rsid w:val="00521580"/>
    <w:rsid w:val="00580F69"/>
    <w:rsid w:val="00585E4E"/>
    <w:rsid w:val="005D6F6C"/>
    <w:rsid w:val="005F70CD"/>
    <w:rsid w:val="0060613E"/>
    <w:rsid w:val="0062083B"/>
    <w:rsid w:val="00681166"/>
    <w:rsid w:val="00684F95"/>
    <w:rsid w:val="006C185C"/>
    <w:rsid w:val="006E348D"/>
    <w:rsid w:val="00722257"/>
    <w:rsid w:val="007414DB"/>
    <w:rsid w:val="0075540D"/>
    <w:rsid w:val="00775EA4"/>
    <w:rsid w:val="00786BBF"/>
    <w:rsid w:val="007D6465"/>
    <w:rsid w:val="007F787E"/>
    <w:rsid w:val="00827665"/>
    <w:rsid w:val="0083150E"/>
    <w:rsid w:val="00872B52"/>
    <w:rsid w:val="0089485F"/>
    <w:rsid w:val="008A2A29"/>
    <w:rsid w:val="008C47AC"/>
    <w:rsid w:val="008F2932"/>
    <w:rsid w:val="009048AB"/>
    <w:rsid w:val="009F16CF"/>
    <w:rsid w:val="00A060D7"/>
    <w:rsid w:val="00A10BAE"/>
    <w:rsid w:val="00A23297"/>
    <w:rsid w:val="00A770E3"/>
    <w:rsid w:val="00A800DB"/>
    <w:rsid w:val="00AD15EA"/>
    <w:rsid w:val="00AD6AD4"/>
    <w:rsid w:val="00AE4320"/>
    <w:rsid w:val="00B17A1C"/>
    <w:rsid w:val="00B425EB"/>
    <w:rsid w:val="00B87408"/>
    <w:rsid w:val="00BA52B7"/>
    <w:rsid w:val="00C220B4"/>
    <w:rsid w:val="00C4524B"/>
    <w:rsid w:val="00C653C9"/>
    <w:rsid w:val="00C7682F"/>
    <w:rsid w:val="00C817C3"/>
    <w:rsid w:val="00CB4AAC"/>
    <w:rsid w:val="00CB6EB0"/>
    <w:rsid w:val="00D66FF7"/>
    <w:rsid w:val="00D72A32"/>
    <w:rsid w:val="00DE1A7C"/>
    <w:rsid w:val="00E02566"/>
    <w:rsid w:val="00E35161"/>
    <w:rsid w:val="00E90D6D"/>
    <w:rsid w:val="00E974EB"/>
    <w:rsid w:val="00F14221"/>
    <w:rsid w:val="00F66E8E"/>
    <w:rsid w:val="00F8022A"/>
    <w:rsid w:val="00F87C4B"/>
    <w:rsid w:val="00F87D3E"/>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552AD"/>
  <w15:docId w15:val="{9B584CE2-70C3-4855-B0CB-28429143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E8E"/>
  </w:style>
  <w:style w:type="paragraph" w:styleId="Heading1">
    <w:name w:val="heading 1"/>
    <w:basedOn w:val="Normal"/>
    <w:next w:val="Normal"/>
    <w:qFormat/>
    <w:rsid w:val="00F66E8E"/>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6E8E"/>
    <w:rPr>
      <w:rFonts w:ascii="Arial" w:hAnsi="Arial"/>
      <w:sz w:val="24"/>
    </w:rPr>
  </w:style>
  <w:style w:type="paragraph" w:styleId="NormalWeb">
    <w:name w:val="Normal (Web)"/>
    <w:basedOn w:val="Normal"/>
    <w:rsid w:val="00E90D6D"/>
    <w:pPr>
      <w:spacing w:before="100" w:beforeAutospacing="1" w:after="100" w:afterAutospacing="1"/>
    </w:pPr>
    <w:rPr>
      <w:rFonts w:ascii="Verdana" w:hAnsi="Verdana"/>
      <w:color w:val="3F3F3F"/>
      <w:sz w:val="17"/>
      <w:szCs w:val="17"/>
    </w:rPr>
  </w:style>
  <w:style w:type="paragraph" w:styleId="BalloonText">
    <w:name w:val="Balloon Text"/>
    <w:basedOn w:val="Normal"/>
    <w:semiHidden/>
    <w:rsid w:val="00A10BAE"/>
    <w:rPr>
      <w:rFonts w:ascii="Tahoma" w:hAnsi="Tahoma" w:cs="Tahoma"/>
      <w:sz w:val="16"/>
      <w:szCs w:val="16"/>
    </w:rPr>
  </w:style>
  <w:style w:type="paragraph" w:styleId="Header">
    <w:name w:val="header"/>
    <w:basedOn w:val="Normal"/>
    <w:link w:val="HeaderChar"/>
    <w:rsid w:val="00A23297"/>
    <w:pPr>
      <w:tabs>
        <w:tab w:val="center" w:pos="4680"/>
        <w:tab w:val="right" w:pos="9360"/>
      </w:tabs>
    </w:pPr>
  </w:style>
  <w:style w:type="character" w:customStyle="1" w:styleId="HeaderChar">
    <w:name w:val="Header Char"/>
    <w:basedOn w:val="DefaultParagraphFont"/>
    <w:link w:val="Header"/>
    <w:rsid w:val="00A23297"/>
  </w:style>
  <w:style w:type="paragraph" w:styleId="Footer">
    <w:name w:val="footer"/>
    <w:basedOn w:val="Normal"/>
    <w:link w:val="FooterChar"/>
    <w:uiPriority w:val="99"/>
    <w:rsid w:val="00A23297"/>
    <w:pPr>
      <w:tabs>
        <w:tab w:val="center" w:pos="4680"/>
        <w:tab w:val="right" w:pos="9360"/>
      </w:tabs>
    </w:pPr>
  </w:style>
  <w:style w:type="character" w:customStyle="1" w:styleId="FooterChar">
    <w:name w:val="Footer Char"/>
    <w:basedOn w:val="DefaultParagraphFont"/>
    <w:link w:val="Footer"/>
    <w:uiPriority w:val="99"/>
    <w:rsid w:val="00A2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45EFE83A1AFD4A907829AD447C9816" ma:contentTypeVersion="10" ma:contentTypeDescription="Create a new document." ma:contentTypeScope="" ma:versionID="cddededd8306a3c516fd8f21e4fe6c1f">
  <xsd:schema xmlns:xsd="http://www.w3.org/2001/XMLSchema" xmlns:xs="http://www.w3.org/2001/XMLSchema" xmlns:p="http://schemas.microsoft.com/office/2006/metadata/properties" xmlns:ns2="36f7d6ad-d670-4d61-9877-5b260959d59e" targetNamespace="http://schemas.microsoft.com/office/2006/metadata/properties" ma:root="true" ma:fieldsID="550a40bd66cc237ca8875a2a819dbf98" ns2:_="">
    <xsd:import namespace="36f7d6ad-d670-4d61-9877-5b260959d5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7d6ad-d670-4d61-9877-5b260959d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41E88-C79E-4E5F-8E7B-6998472C5103}">
  <ds:schemaRefs>
    <ds:schemaRef ds:uri="http://schemas.microsoft.com/sharepoint/v3/contenttype/forms"/>
  </ds:schemaRefs>
</ds:datastoreItem>
</file>

<file path=customXml/itemProps2.xml><?xml version="1.0" encoding="utf-8"?>
<ds:datastoreItem xmlns:ds="http://schemas.openxmlformats.org/officeDocument/2006/customXml" ds:itemID="{08AFB573-6320-4260-BEDF-AC3BA1DEF914}">
  <ds:schemaRefs>
    <ds:schemaRef ds:uri="http://schemas.openxmlformats.org/officeDocument/2006/bibliography"/>
  </ds:schemaRefs>
</ds:datastoreItem>
</file>

<file path=customXml/itemProps3.xml><?xml version="1.0" encoding="utf-8"?>
<ds:datastoreItem xmlns:ds="http://schemas.openxmlformats.org/officeDocument/2006/customXml" ds:itemID="{5FBAC0D4-160B-4214-A32A-E776748A7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7d6ad-d670-4d61-9877-5b260959d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28AFB-FD35-4923-AC2F-1359858ADE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Total Solutions, Inc.</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Jordan</dc:creator>
  <cp:keywords/>
  <dc:description/>
  <cp:lastModifiedBy>Sheila Barnes</cp:lastModifiedBy>
  <cp:revision>23</cp:revision>
  <cp:lastPrinted>2009-12-11T20:32:00Z</cp:lastPrinted>
  <dcterms:created xsi:type="dcterms:W3CDTF">2018-01-02T13:53:00Z</dcterms:created>
  <dcterms:modified xsi:type="dcterms:W3CDTF">2022-01-26T15:58:00Z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0x0101004B45EFE83A1AFD4A907829AD447C9816</vt:lpwstr>
  </property>
</Properties>
</file>